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jc w:val="center"/>
        <w:rPr>
          <w:i w:val="false"/>
          <w:i w:val="false"/>
          <w:iCs w:val="false"/>
          <w:color w:val="000000"/>
        </w:rPr>
      </w:pPr>
      <w:r>
        <w:rPr>
          <w:rFonts w:cs="Arial" w:ascii="Arial" w:hAnsi="Arial"/>
          <w:b/>
          <w:i w:val="false"/>
          <w:iCs w:val="false"/>
          <w:color w:val="000000"/>
          <w:sz w:val="20"/>
          <w:szCs w:val="20"/>
        </w:rPr>
        <w:t>CONSELHO REGIONAL DE CORRETORES DE IMÓVEIS – 1ª REGIÃO/RJ</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1.668.571</w:t>
      </w:r>
    </w:p>
    <w:p>
      <w:pPr>
        <w:pStyle w:val="Prembulo"/>
        <w:spacing w:lineRule="auto" w:line="312" w:before="120" w:after="288"/>
        <w:rPr>
          <w:bCs w:val="false"/>
        </w:rPr>
      </w:pPr>
      <w:r>
        <w:rPr>
          <w:bCs w:val="false"/>
        </w:rPr>
        <w:t xml:space="preserve">CONTRATO ADMINISTRATIVO Nº ......../...., QUE FAZEM ENTRE SI, O CONSELHO REGIONAL DE CORRETORES DE IMÓVEIS – 1ª REGIÃO/RJ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color w:val="000000"/>
          <w:sz w:val="20"/>
          <w:szCs w:val="20"/>
        </w:rPr>
        <w:t>O CONSELHO REGIONAL DE CORRETORES DE IMÓVEIS – 1ª REGIÃO/RJ (CRECI/RJ)</w:t>
      </w:r>
      <w:r>
        <w:rPr>
          <w:rFonts w:eastAsia="Arial" w:cs="Arial" w:ascii="Arial" w:hAnsi="Arial"/>
          <w:sz w:val="20"/>
          <w:szCs w:val="20"/>
        </w:rPr>
        <w:t xml:space="preserve">, com sede nesta capital, na Av Presidente Vargas, nº 417, 5º – 19º – 20º e 21º andar, Centro, Rio de Janeiro, RJ, inscrito no CNPJ sob o nº 33.345.109/0001-10, neste ato representado por seu Presidente João Eduardo Leal Correa, CRECI/RJ, nº 22.757, eleito por Ata de Sessão Plenária Especial de Diplomação, Eleição e Posse, de 27 de junho de 2024, eleito por Ata de Sessão Plenária Especial de Diplomação, Eleição e Posse, de 6 de agosto de 2021, doravante denominada CONTRATANTE e …………….. inscrito(a) no CNPJ/MF sob o nº ………………….., sediado(a) na …………………………………, doravante designada CONTRATADA, </w:t>
      </w:r>
      <w:r>
        <w:rPr>
          <w:rFonts w:eastAsia="Arial" w:cs="Arial" w:ascii="Arial" w:hAnsi="Arial"/>
          <w:color w:val="000000"/>
          <w:sz w:val="20"/>
          <w:szCs w:val="20"/>
        </w:rPr>
        <w:t>neste ato representada pelo Sr (a). ………………..., portadora da Carteira de Identidade nº ……………., expedida pelo ……., e CPF nº …………..,  tendo em vista o que consta no Processo nº .............................. e em observância às disposições da Lei nº 14.133, de 1º de abril de 2021, e demais legislação aplicável, resolvem celebrar o presente Termo de Contrato, decorrente do Pregão Eletrônico n 2024/11, mediante as cláusulas e condições a seguir enunciadas.</w:t>
      </w:r>
    </w:p>
    <w:p>
      <w:pPr>
        <w:pStyle w:val="Nivel01"/>
        <w:numPr>
          <w:ilvl w:val="0"/>
          <w:numId w:val="84"/>
        </w:numPr>
        <w:rPr>
          <w:color w:val="FFFFFF" w:themeColor="background1"/>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85"/>
        </w:numPr>
        <w:ind w:left="0" w:hanging="0"/>
        <w:rPr/>
      </w:pPr>
      <w:r>
        <w:rPr/>
        <w:t>O objeto do presente instrumento é a aquisição de Equipamentos de produção audiovisual, nas condições estabelecidas no Termo de Referência.</w:t>
      </w:r>
    </w:p>
    <w:p>
      <w:pPr>
        <w:pStyle w:val="Nivel2"/>
        <w:numPr>
          <w:ilvl w:val="1"/>
          <w:numId w:val="86"/>
        </w:numPr>
        <w:ind w:left="0" w:hanging="0"/>
        <w:rPr/>
      </w:pPr>
      <w:r>
        <w:rPr/>
        <w:t>Objeto da contratação:</w:t>
      </w:r>
    </w:p>
    <w:p>
      <w:pPr>
        <w:pStyle w:val="Nivel2"/>
        <w:numPr>
          <w:ilvl w:val="0"/>
          <w:numId w:val="0"/>
        </w:numPr>
        <w:ind w:left="0" w:hanging="0"/>
        <w:rPr>
          <w:b/>
          <w:b/>
          <w:bCs/>
        </w:rPr>
      </w:pPr>
      <w:r>
        <w:rPr>
          <w:b/>
          <w:bCs/>
        </w:rPr>
        <w:t>GRUPO 1</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
        <w:gridCol w:w="2559"/>
        <w:gridCol w:w="1278"/>
        <w:gridCol w:w="1134"/>
        <w:gridCol w:w="1557"/>
        <w:gridCol w:w="1285"/>
        <w:gridCol w:w="983"/>
      </w:tblGrid>
      <w:tr>
        <w:trPr/>
        <w:tc>
          <w:tcPr>
            <w:tcW w:w="701"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b/>
                <w:b/>
                <w:bCs/>
                <w:color w:val="000000"/>
                <w:sz w:val="20"/>
                <w:szCs w:val="20"/>
              </w:rPr>
            </w:pPr>
            <w:commentRangeStart w:id="1"/>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9"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5"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3"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commentRangeEnd w:id="1"/>
            <w:r>
              <w:commentReference w:id="1"/>
            </w:r>
            <w:r>
              <w:rPr>
                <w:rFonts w:eastAsia="Arial" w:cs="Arial" w:ascii="Arial" w:hAnsi="Arial"/>
                <w:b/>
                <w:bCs/>
                <w:sz w:val="20"/>
                <w:szCs w:val="20"/>
              </w:rPr>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shd w:fill="auto" w:val="clear"/>
                <w:lang w:val="pt-BR" w:eastAsia="zh-CN" w:bidi="ar-SA"/>
              </w:rPr>
            </w:pPr>
            <w:r>
              <w:rPr>
                <w:rFonts w:eastAsia="SimSun;宋体" w:cs="Arial" w:ascii="Arial" w:hAnsi="Arial"/>
                <w:b/>
                <w:bCs/>
                <w:color w:val="000000"/>
                <w:kern w:val="2"/>
                <w:sz w:val="20"/>
                <w:szCs w:val="20"/>
                <w:shd w:fill="auto" w:val="clear"/>
                <w:lang w:val="pt-BR" w:eastAsia="zh-CN" w:bidi="ar-SA"/>
              </w:rPr>
              <w:t>Câmera de filmagem/foto</w:t>
            </w:r>
          </w:p>
          <w:p>
            <w:pPr>
              <w:pStyle w:val="Normal"/>
              <w:widowControl w:val="false"/>
              <w:spacing w:lineRule="auto" w:line="240" w:before="0" w:after="0"/>
              <w:ind w:left="-70" w:right="0" w:hanging="0"/>
              <w:jc w:val="both"/>
              <w:rPr>
                <w:rFonts w:ascii="Arial" w:hAnsi="Arial" w:eastAsia="SimSun;宋体" w:cs="Arial"/>
                <w:b/>
                <w:b/>
                <w:bCs/>
                <w:color w:val="auto"/>
                <w:kern w:val="2"/>
                <w:sz w:val="20"/>
                <w:szCs w:val="20"/>
                <w:shd w:fill="auto" w:val="clear"/>
                <w:lang w:val="pt-BR" w:eastAsia="zh-CN" w:bidi="ar-SA"/>
              </w:rPr>
            </w:pPr>
            <w:r>
              <w:rPr>
                <w:rFonts w:eastAsia="SimSun;宋体" w:cs="Arial" w:ascii="Arial" w:hAnsi="Arial"/>
                <w:b/>
                <w:bCs/>
                <w:color w:val="000000"/>
                <w:kern w:val="2"/>
                <w:sz w:val="20"/>
                <w:szCs w:val="20"/>
                <w:shd w:fill="auto" w:val="clear"/>
                <w:lang w:val="pt-BR" w:eastAsia="zh-CN" w:bidi="ar-SA"/>
              </w:rPr>
              <w:t>(somente o corpo)</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466023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3</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4"/>
                <w:szCs w:val="24"/>
                <w:lang w:val="pt-BR" w:eastAsia="zh-CN" w:bidi="ar-SA"/>
              </w:rPr>
            </w:pPr>
            <w:r>
              <w:rPr>
                <w:rStyle w:val="Strong"/>
                <w:rFonts w:eastAsia="SimSun;宋体" w:cs="Arial" w:ascii="Arial" w:hAnsi="Arial"/>
                <w:b/>
                <w:bCs/>
                <w:color w:val="000000"/>
                <w:kern w:val="2"/>
                <w:sz w:val="20"/>
                <w:szCs w:val="20"/>
                <w:shd w:fill="auto" w:val="clear"/>
                <w:lang w:val="pt-BR" w:eastAsia="zh-CN" w:bidi="ar-SA"/>
              </w:rPr>
              <w:t>Lente 24-70mm</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jc w:val="center"/>
              <w:rPr>
                <w:rFonts w:ascii="Arial" w:hAnsi="Arial"/>
                <w:color w:val="auto"/>
                <w:sz w:val="20"/>
                <w:szCs w:val="20"/>
              </w:rPr>
            </w:pPr>
            <w:r>
              <w:rPr>
                <w:rFonts w:ascii="Arial" w:hAnsi="Arial"/>
                <w:color w:val="auto"/>
                <w:sz w:val="20"/>
                <w:szCs w:val="20"/>
              </w:rPr>
              <w:t>611517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val="false"/>
                <w:b w:val="false"/>
                <w:bCs w:val="false"/>
                <w:color w:val="auto"/>
                <w:kern w:val="2"/>
                <w:sz w:val="20"/>
                <w:szCs w:val="20"/>
                <w:lang w:val="pt-BR" w:eastAsia="zh-CN" w:bidi="ar-SA"/>
              </w:rPr>
            </w:pPr>
            <w:r>
              <w:rPr>
                <w:rStyle w:val="Strong"/>
                <w:rFonts w:eastAsia="SimSun;宋体" w:cs="Arial" w:ascii="Arial" w:hAnsi="Arial"/>
                <w:b/>
                <w:bCs/>
                <w:color w:val="000000"/>
                <w:kern w:val="2"/>
                <w:sz w:val="20"/>
                <w:szCs w:val="20"/>
                <w:shd w:fill="auto" w:val="clear"/>
                <w:lang w:val="pt-BR" w:eastAsia="zh-CN" w:bidi="ar-SA"/>
              </w:rPr>
              <w:t>Lente 70-200mm</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613206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1</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rHeight w:val="560" w:hRule="atLeast"/>
        </w:trPr>
        <w:tc>
          <w:tcPr>
            <w:tcW w:w="8514" w:type="dxa"/>
            <w:gridSpan w:val="6"/>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right"/>
              <w:rPr>
                <w:rFonts w:ascii="Arial" w:hAnsi="Arial" w:eastAsia="Arial" w:cs="Arial"/>
                <w:b/>
                <w:b/>
                <w:bCs/>
                <w:color w:val="000000"/>
                <w:sz w:val="20"/>
                <w:szCs w:val="20"/>
              </w:rPr>
            </w:pPr>
            <w:r>
              <w:rPr>
                <w:rFonts w:eastAsia="Arial" w:cs="Arial" w:ascii="Arial" w:hAnsi="Arial"/>
                <w:b/>
                <w:bCs/>
                <w:color w:val="000000"/>
                <w:sz w:val="20"/>
                <w:szCs w:val="20"/>
              </w:rPr>
              <w:t>Valor Total:</w:t>
            </w:r>
          </w:p>
        </w:tc>
        <w:tc>
          <w:tcPr>
            <w:tcW w:w="983"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0"/>
          <w:numId w:val="0"/>
        </w:numPr>
        <w:ind w:left="0" w:hanging="0"/>
        <w:rPr/>
      </w:pPr>
      <w:r>
        <w:rPr/>
      </w:r>
    </w:p>
    <w:p>
      <w:pPr>
        <w:pStyle w:val="Nivel2"/>
        <w:numPr>
          <w:ilvl w:val="0"/>
          <w:numId w:val="0"/>
        </w:numPr>
        <w:ind w:left="0" w:hanging="0"/>
        <w:rPr>
          <w:b/>
          <w:b/>
          <w:bCs/>
        </w:rPr>
      </w:pPr>
      <w:r>
        <w:rPr>
          <w:b/>
          <w:bCs/>
        </w:rPr>
        <w:t>GRUPO 2</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
        <w:gridCol w:w="2558"/>
        <w:gridCol w:w="1279"/>
        <w:gridCol w:w="1134"/>
        <w:gridCol w:w="1556"/>
        <w:gridCol w:w="1285"/>
        <w:gridCol w:w="984"/>
      </w:tblGrid>
      <w:tr>
        <w:trPr/>
        <w:tc>
          <w:tcPr>
            <w:tcW w:w="701"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8"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color w:val="000000" w:themeColor="text1"/>
                <w:sz w:val="20"/>
                <w:szCs w:val="20"/>
              </w:rPr>
              <w:t>ESPECIFICAÇÃO</w:t>
            </w:r>
          </w:p>
        </w:tc>
        <w:tc>
          <w:tcPr>
            <w:tcW w:w="1279"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sz w:val="20"/>
                <w:szCs w:val="20"/>
              </w:rPr>
              <w:t>QUANTIDADE</w:t>
            </w:r>
          </w:p>
        </w:tc>
        <w:tc>
          <w:tcPr>
            <w:tcW w:w="1285"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sz w:val="20"/>
                <w:szCs w:val="20"/>
              </w:rPr>
              <w:t>VALOR UNITÁRIO</w:t>
            </w:r>
          </w:p>
        </w:tc>
        <w:tc>
          <w:tcPr>
            <w:tcW w:w="984" w:type="dxa"/>
            <w:tcBorders>
              <w:top w:val="single" w:sz="4" w:space="0" w:color="000000"/>
              <w:left w:val="single" w:sz="4" w:space="0" w:color="000000"/>
              <w:bottom w:val="single" w:sz="4" w:space="0" w:color="000000"/>
              <w:right w:val="single" w:sz="4" w:space="0" w:color="000000"/>
            </w:tcBorders>
            <w:shd w:fill="BABABA" w:val="clear"/>
          </w:tcPr>
          <w:p>
            <w:pPr>
              <w:pStyle w:val="Normal"/>
              <w:widowControl w:val="false"/>
              <w:spacing w:lineRule="auto" w:line="312" w:before="120" w:after="288"/>
              <w:jc w:val="center"/>
              <w:rPr/>
            </w:pPr>
            <w:r>
              <w:rPr>
                <w:rFonts w:eastAsia="Arial" w:cs="Arial" w:ascii="Arial" w:hAnsi="Arial"/>
                <w:b/>
                <w:bCs/>
                <w:sz w:val="20"/>
                <w:szCs w:val="20"/>
              </w:rPr>
              <w:t>VALOR TOTAL</w:t>
            </w:r>
            <w:r>
              <w:rPr/>
              <w:commentReference w:id="2"/>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04</w:t>
            </w:r>
          </w:p>
        </w:tc>
        <w:tc>
          <w:tcPr>
            <w:tcW w:w="2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Tripé profissional com cabeça hidráulica</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465786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05</w:t>
            </w:r>
          </w:p>
        </w:tc>
        <w:tc>
          <w:tcPr>
            <w:tcW w:w="2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 xml:space="preserve">Kit iluminação estúdio softbox </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476366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1</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06</w:t>
            </w:r>
          </w:p>
        </w:tc>
        <w:tc>
          <w:tcPr>
            <w:tcW w:w="2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Mesa de edição</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shd w:fill="auto" w:val="clear"/>
              </w:rPr>
            </w:pPr>
            <w:r>
              <w:rPr>
                <w:rFonts w:ascii="Arial" w:hAnsi="Arial"/>
                <w:color w:val="000000"/>
                <w:sz w:val="20"/>
                <w:szCs w:val="20"/>
                <w:shd w:fill="auto" w:val="clear"/>
              </w:rPr>
              <w:t>472728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1</w:t>
            </w:r>
          </w:p>
        </w:tc>
        <w:tc>
          <w:tcPr>
            <w:tcW w:w="1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07</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Microfone condensador</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615064</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08</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Sistema de microfone de lapela sem fio</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298587</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3</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09</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Microfone shotgun com deadcat</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622173</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10</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Estabilizador para smartphone</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602598</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11</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Iluminador bastão LED</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602589</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2</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12</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Cartão de memória</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612004</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6</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1"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b/>
                <w:b/>
                <w:bCs/>
                <w:color w:val="auto"/>
                <w:sz w:val="20"/>
                <w:szCs w:val="20"/>
                <w:lang w:eastAsia="pt-BR"/>
              </w:rPr>
            </w:pPr>
            <w:r>
              <w:rPr>
                <w:rFonts w:eastAsia="Times New Roman" w:cs="Arial" w:ascii="Arial" w:hAnsi="Arial"/>
                <w:b/>
                <w:bCs/>
                <w:color w:val="auto"/>
                <w:sz w:val="20"/>
                <w:szCs w:val="20"/>
                <w:lang w:eastAsia="pt-BR"/>
              </w:rPr>
              <w:t>13</w:t>
            </w:r>
          </w:p>
        </w:tc>
        <w:tc>
          <w:tcPr>
            <w:tcW w:w="2558"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both"/>
              <w:rPr>
                <w:rFonts w:ascii="Arial" w:hAnsi="Arial" w:eastAsia="SimSun;宋体" w:cs="Arial"/>
                <w:b/>
                <w:b/>
                <w:bCs/>
                <w:color w:val="auto"/>
                <w:kern w:val="2"/>
                <w:sz w:val="20"/>
                <w:szCs w:val="20"/>
                <w:lang w:val="pt-BR" w:eastAsia="zh-CN" w:bidi="ar-SA"/>
              </w:rPr>
            </w:pPr>
            <w:r>
              <w:rPr>
                <w:rFonts w:eastAsia="SimSun;宋体" w:cs="Arial" w:ascii="Arial" w:hAnsi="Arial"/>
                <w:b/>
                <w:bCs/>
                <w:color w:val="auto"/>
                <w:kern w:val="2"/>
                <w:sz w:val="20"/>
                <w:szCs w:val="20"/>
                <w:lang w:val="pt-BR" w:eastAsia="zh-CN" w:bidi="ar-SA"/>
              </w:rPr>
              <w:t>Leitor de cartão SD</w:t>
            </w:r>
          </w:p>
        </w:tc>
        <w:tc>
          <w:tcPr>
            <w:tcW w:w="1279"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color w:val="auto"/>
                <w:sz w:val="20"/>
                <w:szCs w:val="20"/>
              </w:rPr>
            </w:pPr>
            <w:r>
              <w:rPr>
                <w:rFonts w:ascii="Arial" w:hAnsi="Arial"/>
                <w:color w:val="auto"/>
                <w:sz w:val="20"/>
                <w:szCs w:val="20"/>
              </w:rPr>
              <w:t>461469</w:t>
            </w:r>
          </w:p>
        </w:tc>
        <w:tc>
          <w:tcPr>
            <w:tcW w:w="113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0"/>
              <w:jc w:val="center"/>
              <w:rPr>
                <w:rFonts w:ascii="Arial" w:hAnsi="Arial" w:eastAsia="Times New Roman" w:cs="Arial"/>
                <w:b w:val="false"/>
                <w:b w:val="false"/>
                <w:bCs w:val="false"/>
                <w:color w:val="auto"/>
                <w:kern w:val="2"/>
                <w:sz w:val="20"/>
                <w:szCs w:val="20"/>
                <w:lang w:eastAsia="pt-BR"/>
              </w:rPr>
            </w:pPr>
            <w:r>
              <w:rPr>
                <w:rFonts w:eastAsia="Times New Roman" w:cs="Arial" w:ascii="Arial" w:hAnsi="Arial"/>
                <w:b w:val="false"/>
                <w:bCs w:val="false"/>
                <w:color w:val="auto"/>
                <w:kern w:val="2"/>
                <w:sz w:val="20"/>
                <w:szCs w:val="20"/>
                <w:lang w:eastAsia="pt-BR"/>
              </w:rPr>
              <w:t>Unidade</w:t>
            </w:r>
          </w:p>
        </w:tc>
        <w:tc>
          <w:tcPr>
            <w:tcW w:w="155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70" w:right="0" w:hanging="0"/>
              <w:jc w:val="center"/>
              <w:rPr>
                <w:rFonts w:ascii="Arial" w:hAnsi="Arial" w:eastAsia="SimSun;宋体" w:cs="Arial"/>
                <w:b w:val="false"/>
                <w:b w:val="false"/>
                <w:bCs w:val="false"/>
                <w:color w:val="auto"/>
                <w:kern w:val="2"/>
                <w:sz w:val="20"/>
                <w:szCs w:val="20"/>
                <w:lang w:val="pt-BR" w:eastAsia="zh-CN" w:bidi="ar-SA"/>
              </w:rPr>
            </w:pPr>
            <w:r>
              <w:rPr>
                <w:rFonts w:eastAsia="SimSun;宋体" w:cs="Arial" w:ascii="Arial" w:hAnsi="Arial"/>
                <w:b w:val="false"/>
                <w:bCs w:val="false"/>
                <w:color w:val="auto"/>
                <w:kern w:val="2"/>
                <w:sz w:val="20"/>
                <w:szCs w:val="20"/>
                <w:lang w:val="pt-BR" w:eastAsia="zh-CN" w:bidi="ar-SA"/>
              </w:rPr>
              <w:t>1</w:t>
            </w:r>
          </w:p>
        </w:tc>
        <w:tc>
          <w:tcPr>
            <w:tcW w:w="1285"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rHeight w:val="560" w:hRule="atLeast"/>
        </w:trPr>
        <w:tc>
          <w:tcPr>
            <w:tcW w:w="8513" w:type="dxa"/>
            <w:gridSpan w:val="6"/>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right"/>
              <w:rPr>
                <w:rFonts w:ascii="Arial" w:hAnsi="Arial" w:eastAsia="Arial" w:cs="Arial"/>
                <w:b/>
                <w:b/>
                <w:bCs/>
                <w:color w:val="000000"/>
                <w:sz w:val="20"/>
                <w:szCs w:val="20"/>
              </w:rPr>
            </w:pPr>
            <w:r>
              <w:rPr>
                <w:rFonts w:eastAsia="Arial" w:cs="Arial" w:ascii="Arial" w:hAnsi="Arial"/>
                <w:b/>
                <w:bCs/>
                <w:color w:val="000000"/>
                <w:sz w:val="20"/>
                <w:szCs w:val="20"/>
              </w:rPr>
              <w:t>Valor Total:</w:t>
            </w:r>
          </w:p>
        </w:tc>
        <w:tc>
          <w:tcPr>
            <w:tcW w:w="984" w:type="dxa"/>
            <w:tcBorders>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ormal"/>
        <w:numPr>
          <w:ilvl w:val="0"/>
          <w:numId w:val="0"/>
        </w:numPr>
        <w:ind w:left="0" w:hanging="0"/>
        <w:rPr/>
      </w:pPr>
      <w:r>
        <w:rPr/>
      </w:r>
    </w:p>
    <w:p>
      <w:pPr>
        <w:pStyle w:val="Nivel2"/>
        <w:numPr>
          <w:ilvl w:val="1"/>
          <w:numId w:val="87"/>
        </w:numPr>
        <w:ind w:left="0" w:hanging="0"/>
        <w:rPr/>
      </w:pPr>
      <w:r>
        <w:rPr/>
        <w:t>Vinculam esta contratação, independentemente de transcrição:</w:t>
      </w:r>
    </w:p>
    <w:p>
      <w:pPr>
        <w:pStyle w:val="Nivel3"/>
        <w:numPr>
          <w:ilvl w:val="2"/>
          <w:numId w:val="88"/>
        </w:numPr>
        <w:ind w:left="284" w:hanging="0"/>
        <w:rPr/>
      </w:pPr>
      <w:r>
        <w:rPr/>
        <w:t>O Termo de Referência;</w:t>
      </w:r>
    </w:p>
    <w:p>
      <w:pPr>
        <w:pStyle w:val="Nivel3"/>
        <w:numPr>
          <w:ilvl w:val="2"/>
          <w:numId w:val="89"/>
        </w:numPr>
        <w:ind w:left="284" w:hanging="0"/>
        <w:rPr/>
      </w:pPr>
      <w:r>
        <w:rPr/>
        <w:t>O Edital da Licitação;</w:t>
      </w:r>
    </w:p>
    <w:p>
      <w:pPr>
        <w:pStyle w:val="Nivel3"/>
        <w:numPr>
          <w:ilvl w:val="2"/>
          <w:numId w:val="90"/>
        </w:numPr>
        <w:ind w:left="284" w:hanging="0"/>
        <w:rPr/>
      </w:pPr>
      <w:r>
        <w:rPr/>
        <w:t>A Proposta do contratado;</w:t>
      </w:r>
    </w:p>
    <w:p>
      <w:pPr>
        <w:pStyle w:val="Nivel3"/>
        <w:numPr>
          <w:ilvl w:val="2"/>
          <w:numId w:val="91"/>
        </w:numPr>
        <w:ind w:left="284" w:hanging="0"/>
        <w:rPr/>
      </w:pPr>
      <w:r>
        <w:rPr/>
        <w:t>Eventuais anexos dos documentos supracitados.</w:t>
      </w:r>
    </w:p>
    <w:p>
      <w:pPr>
        <w:pStyle w:val="Nivel01"/>
        <w:numPr>
          <w:ilvl w:val="0"/>
          <w:numId w:val="92"/>
        </w:numPr>
        <w:ind w:left="0" w:hanging="0"/>
        <w:rPr>
          <w:color w:val="FFFFFF" w:themeColor="background1"/>
        </w:rPr>
      </w:pPr>
      <w:r>
        <w:rPr/>
        <w:t>CLÁUSULA SEGUNDA – VIGÊNCIA E PRORROGAÇÃO</w:t>
      </w:r>
    </w:p>
    <w:p>
      <w:pPr>
        <w:pStyle w:val="Nvel2Red"/>
        <w:numPr>
          <w:ilvl w:val="1"/>
          <w:numId w:val="93"/>
        </w:numPr>
        <w:ind w:left="0" w:hanging="0"/>
        <w:rPr/>
      </w:pPr>
      <w:commentRangeStart w:id="3"/>
      <w:r>
        <w:rPr>
          <w:i w:val="false"/>
          <w:iCs w:val="false"/>
          <w:color w:val="000000"/>
        </w:rPr>
        <w:t xml:space="preserve">O prazo de vigência da contratação é de 180 (cento e oitenta) dias contados da assinatura, na forma do </w:t>
      </w:r>
      <w:r>
        <w:fldChar w:fldCharType="begin"/>
      </w:r>
      <w:r>
        <w:rPr>
          <w:rStyle w:val="LinkdaInternet"/>
          <w:i w:val="false"/>
          <w:iCs w:val="false"/>
          <w:color w:val="000000"/>
        </w:rPr>
        <w:instrText xml:space="preserve"> HYPERLINK "http://www.planalto.gov.br/ccivil_03/_ato2019-2022/2021/lei/L14133.htm" \l "art105"</w:instrText>
      </w:r>
      <w:r>
        <w:rPr>
          <w:rStyle w:val="LinkdaInternet"/>
          <w:i w:val="false"/>
          <w:iCs w:val="false"/>
          <w:color w:val="000000"/>
        </w:rPr>
        <w:fldChar w:fldCharType="separate"/>
      </w:r>
      <w:r>
        <w:rPr>
          <w:rStyle w:val="LinkdaInternet"/>
          <w:i w:val="false"/>
          <w:iCs w:val="false"/>
          <w:color w:val="000000"/>
        </w:rPr>
        <w:t>artigo 105 da Lei n° 14.133, de 2021</w:t>
      </w:r>
      <w:r>
        <w:rPr>
          <w:rStyle w:val="LinkdaInternet"/>
          <w:i w:val="false"/>
          <w:iCs w:val="false"/>
          <w:color w:val="000000"/>
        </w:rPr>
        <w:fldChar w:fldCharType="end"/>
      </w:r>
      <w:r>
        <w:rPr>
          <w:i w:val="false"/>
          <w:iCs w:val="false"/>
          <w:color w:val="000000"/>
        </w:rPr>
        <w:t>.</w:t>
      </w:r>
    </w:p>
    <w:p>
      <w:pPr>
        <w:pStyle w:val="Nvel3R"/>
        <w:numPr>
          <w:ilvl w:val="2"/>
          <w:numId w:val="94"/>
        </w:numPr>
        <w:ind w:left="284" w:hanging="0"/>
        <w:rPr>
          <w:i w:val="false"/>
          <w:i w:val="false"/>
          <w:iCs w:val="false"/>
          <w:color w:val="000000"/>
        </w:rPr>
      </w:pPr>
      <w:r>
        <w:rPr>
          <w:i w:val="false"/>
          <w:iCs w:val="false"/>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i w:val="false"/>
          <w:iCs w:val="false"/>
          <w:color w:val="000000"/>
        </w:rPr>
      </w:r>
    </w:p>
    <w:p>
      <w:pPr>
        <w:pStyle w:val="Nvel2Red"/>
        <w:numPr>
          <w:ilvl w:val="1"/>
          <w:numId w:val="95"/>
        </w:numPr>
        <w:ind w:left="0" w:hanging="0"/>
        <w:rPr>
          <w:i w:val="false"/>
          <w:i w:val="false"/>
          <w:iCs w:val="false"/>
          <w:color w:val="000000"/>
          <w:highlight w:val="none"/>
          <w:shd w:fill="FFFFFF" w:val="clear"/>
        </w:rPr>
      </w:pPr>
      <w:r>
        <w:rPr>
          <w:i w:val="false"/>
          <w:iCs w:val="false"/>
          <w:color w:val="000000"/>
          <w:shd w:fill="FFFFFF" w:val="clear"/>
        </w:rPr>
        <w:t>O contratado não tem direito subjetivo à prorrogação contratual.</w:t>
      </w:r>
    </w:p>
    <w:p>
      <w:pPr>
        <w:pStyle w:val="Nvel2Red"/>
        <w:numPr>
          <w:ilvl w:val="1"/>
          <w:numId w:val="96"/>
        </w:numPr>
        <w:ind w:left="0" w:hanging="0"/>
        <w:rPr>
          <w:i w:val="false"/>
          <w:i w:val="false"/>
          <w:iCs w:val="false"/>
          <w:color w:val="000000"/>
          <w:highlight w:val="none"/>
          <w:shd w:fill="FFFFFF" w:val="clear"/>
        </w:rPr>
      </w:pPr>
      <w:r>
        <w:rPr>
          <w:i w:val="false"/>
          <w:iCs w:val="false"/>
          <w:color w:val="000000"/>
          <w:shd w:fill="FFFFFF" w:val="clear"/>
        </w:rPr>
        <w:t>A prorrogação de contrato deverá ser promovida mediante celebração de termo aditivo.</w:t>
      </w:r>
    </w:p>
    <w:p>
      <w:pPr>
        <w:pStyle w:val="Nivel01"/>
        <w:numPr>
          <w:ilvl w:val="0"/>
          <w:numId w:val="97"/>
        </w:numPr>
        <w:ind w:left="0" w:hanging="0"/>
        <w:rPr>
          <w:color w:val="FFFFFF" w:themeColor="background1"/>
        </w:rPr>
      </w:pPr>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98"/>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99"/>
        </w:numPr>
        <w:ind w:left="0" w:hanging="0"/>
        <w:rPr>
          <w:color w:val="FFFFFF" w:themeColor="background1"/>
        </w:rPr>
      </w:pPr>
      <w:r>
        <w:rPr/>
        <w:t>CLÁUSULA QUARTA – SUBCONTRATAÇÃO</w:t>
      </w:r>
    </w:p>
    <w:p>
      <w:pPr>
        <w:pStyle w:val="Nvel2Red"/>
        <w:numPr>
          <w:ilvl w:val="1"/>
          <w:numId w:val="100"/>
        </w:numPr>
        <w:ind w:left="0" w:hanging="0"/>
        <w:rPr>
          <w:i w:val="false"/>
          <w:i w:val="false"/>
          <w:iCs w:val="false"/>
          <w:color w:val="000000"/>
        </w:rPr>
      </w:pPr>
      <w:r>
        <w:rPr>
          <w:i w:val="false"/>
          <w:iCs w:val="false"/>
          <w:color w:val="000000"/>
        </w:rPr>
        <w:t>Não será admitida a subcontratação do objeto contratual.</w:t>
      </w:r>
    </w:p>
    <w:p>
      <w:pPr>
        <w:pStyle w:val="Nivel01"/>
        <w:numPr>
          <w:ilvl w:val="0"/>
          <w:numId w:val="101"/>
        </w:numPr>
        <w:ind w:left="0" w:hanging="0"/>
        <w:rPr>
          <w:color w:val="FFFFFF" w:themeColor="background1"/>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commentReference w:id="4"/>
      </w:r>
    </w:p>
    <w:p>
      <w:pPr>
        <w:pStyle w:val="Nvel2Red"/>
        <w:numPr>
          <w:ilvl w:val="1"/>
          <w:numId w:val="102"/>
        </w:numPr>
        <w:ind w:left="0" w:hanging="0"/>
        <w:rPr>
          <w:i w:val="false"/>
          <w:i w:val="false"/>
          <w:iCs w:val="false"/>
          <w:color w:val="000000"/>
        </w:rPr>
      </w:pPr>
      <w:commentRangeStart w:id="5"/>
      <w:r>
        <w:rPr>
          <w:i w:val="false"/>
          <w:iCs w:val="false"/>
          <w:color w:val="000000"/>
        </w:rPr>
        <w:t>O valor total da contratação é de R$.......... (.....)</w:t>
      </w:r>
      <w:commentRangeEnd w:id="5"/>
      <w:r>
        <w:commentReference w:id="5"/>
      </w:r>
      <w:r>
        <w:rPr>
          <w:i w:val="false"/>
          <w:iCs w:val="false"/>
          <w:color w:val="000000"/>
        </w:rPr>
      </w:r>
    </w:p>
    <w:p>
      <w:pPr>
        <w:pStyle w:val="Nivel2"/>
        <w:numPr>
          <w:ilvl w:val="1"/>
          <w:numId w:val="103"/>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04"/>
        </w:numPr>
        <w:ind w:left="0" w:hanging="0"/>
        <w:rPr>
          <w:i w:val="false"/>
          <w:i w:val="false"/>
          <w:iCs w:val="false"/>
          <w:color w:val="000000"/>
        </w:rPr>
      </w:pPr>
      <w:commentRangeStart w:id="6"/>
      <w:r>
        <w:rPr>
          <w:i w:val="false"/>
          <w:iCs w:val="false"/>
          <w:color w:val="000000"/>
        </w:rPr>
        <w:t>O valor acima é meramente estimativo, de forma que os pagamentos devidos ao contratado dependerão dos quantitativos efetivamente fornecidos.</w:t>
      </w:r>
      <w:commentRangeEnd w:id="6"/>
      <w:r>
        <w:commentReference w:id="6"/>
      </w:r>
      <w:r>
        <w:rPr>
          <w:i w:val="false"/>
          <w:iCs w:val="false"/>
          <w:color w:val="000000"/>
        </w:rPr>
      </w:r>
    </w:p>
    <w:p>
      <w:pPr>
        <w:pStyle w:val="Nivel01"/>
        <w:numPr>
          <w:ilvl w:val="0"/>
          <w:numId w:val="105"/>
        </w:numPr>
        <w:ind w:left="0" w:hanging="0"/>
        <w:rPr>
          <w:color w:val="FFFFFF" w:themeColor="background1"/>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06"/>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07"/>
        </w:numPr>
        <w:ind w:left="0" w:hanging="0"/>
        <w:rPr>
          <w:color w:val="FFFFFF" w:themeColor="background1"/>
        </w:rPr>
      </w:pPr>
      <w:commentRangeStart w:id="7"/>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7"/>
      <w:r>
        <w:commentReference w:id="7"/>
      </w:r>
      <w:r>
        <w:rPr>
          <w:rStyle w:val="LinkdaInternet"/>
        </w:rPr>
      </w:r>
    </w:p>
    <w:p>
      <w:pPr>
        <w:pStyle w:val="Nivel2"/>
        <w:numPr>
          <w:ilvl w:val="1"/>
          <w:numId w:val="108"/>
        </w:numPr>
        <w:ind w:left="0" w:hanging="0"/>
        <w:rPr/>
      </w:pPr>
      <w:r>
        <w:rPr/>
        <w:t>Os preços inicialmente contratados são fixos e irreajustáveis no prazo de um ano contado da data do orçamento estimado, em</w:t>
      </w:r>
      <w:r>
        <w:rPr>
          <w:i/>
          <w:iCs/>
          <w:color w:val="FF4000"/>
        </w:rPr>
        <w:t xml:space="preserve"> </w:t>
      </w:r>
      <w:r>
        <w:rPr>
          <w:i w:val="false"/>
          <w:iCs w:val="false"/>
          <w:color w:val="000000"/>
        </w:rPr>
        <w:t>05/11/2024</w:t>
      </w:r>
      <w:r>
        <w:rPr/>
        <w:t>.</w:t>
      </w:r>
    </w:p>
    <w:p>
      <w:pPr>
        <w:pStyle w:val="Nivel2"/>
        <w:numPr>
          <w:ilvl w:val="1"/>
          <w:numId w:val="109"/>
        </w:numPr>
        <w:ind w:left="0" w:hanging="0"/>
        <w:rPr/>
      </w:pPr>
      <w:commentRangeStart w:id="8"/>
      <w:r>
        <w:rPr/>
        <w:t xml:space="preserve">Após o interregno de um ano, e independentemente de pedido do </w:t>
      </w:r>
      <w:commentRangeStart w:id="9"/>
      <w:r>
        <w:rPr/>
        <w:t>contratado</w:t>
      </w:r>
      <w:r>
        <w:rPr/>
      </w:r>
      <w:commentRangeEnd w:id="9"/>
      <w:r>
        <w:commentReference w:id="9"/>
      </w:r>
      <w:r>
        <w:rPr/>
        <w:t xml:space="preserve">, os preços iniciais serão reajustados, mediante a aplicação, pelo contratante, do índice </w:t>
      </w:r>
      <w:r>
        <w:rPr>
          <w:i w:val="false"/>
          <w:iCs w:val="false"/>
          <w:color w:val="000000"/>
        </w:rPr>
        <w:t>IPCA – Índice Nacional de Preços ao Consumidor Amplo</w:t>
      </w:r>
      <w:r>
        <w:rPr>
          <w:i/>
          <w:iCs/>
        </w:rPr>
        <w:t>,</w:t>
      </w:r>
      <w:r>
        <w:rPr/>
        <w:t xml:space="preserve"> exclusivamente para as obrigações iniciadas e concluídas após a ocorrência da anualidade</w:t>
      </w:r>
      <w:r>
        <w:rPr/>
      </w:r>
      <w:commentRangeEnd w:id="8"/>
      <w:r>
        <w:commentReference w:id="8"/>
      </w:r>
      <w:r>
        <w:rPr/>
        <w:t>.</w:t>
      </w:r>
    </w:p>
    <w:p>
      <w:pPr>
        <w:pStyle w:val="Nivel2"/>
        <w:numPr>
          <w:ilvl w:val="1"/>
          <w:numId w:val="110"/>
        </w:numPr>
        <w:ind w:left="0" w:hanging="0"/>
        <w:rPr/>
      </w:pPr>
      <w:r>
        <w:rPr/>
        <w:t>Nos reajustes subsequentes ao primeiro, o interregno mínimo de um ano será contado a partir dos efeitos financeiros do último reajuste.</w:t>
      </w:r>
    </w:p>
    <w:p>
      <w:pPr>
        <w:pStyle w:val="Nivel2"/>
        <w:numPr>
          <w:ilvl w:val="1"/>
          <w:numId w:val="111"/>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112"/>
        </w:numPr>
        <w:ind w:left="0" w:hanging="0"/>
        <w:rPr/>
      </w:pPr>
      <w:r>
        <w:rPr/>
        <w:t>Nas aferições finais, o(s) índice(s) utilizado(s) para reajuste será(ão), obrigatoriamente, o(s) definitivo(s).</w:t>
      </w:r>
    </w:p>
    <w:p>
      <w:pPr>
        <w:pStyle w:val="Nivel2"/>
        <w:numPr>
          <w:ilvl w:val="1"/>
          <w:numId w:val="113"/>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14"/>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15"/>
        </w:numPr>
        <w:ind w:left="0" w:hanging="0"/>
        <w:rPr/>
      </w:pPr>
      <w:r>
        <w:rPr/>
        <w:t>O reajuste será realizado por apostilamento.</w:t>
      </w:r>
    </w:p>
    <w:p>
      <w:pPr>
        <w:pStyle w:val="Nivel01"/>
        <w:numPr>
          <w:ilvl w:val="0"/>
          <w:numId w:val="116"/>
        </w:numPr>
        <w:ind w:left="0" w:hanging="0"/>
        <w:rPr>
          <w:color w:val="FFFFFF" w:themeColor="background1"/>
        </w:rPr>
      </w:pPr>
      <w:r>
        <w:rPr/>
        <w:t>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17"/>
        </w:numPr>
        <w:ind w:left="0" w:hanging="0"/>
        <w:rPr>
          <w:b/>
          <w:b/>
          <w:bCs/>
        </w:rPr>
      </w:pPr>
      <w:r>
        <w:rPr/>
        <w:t xml:space="preserve">Conforme termo de referência. </w:t>
      </w:r>
    </w:p>
    <w:p>
      <w:pPr>
        <w:pStyle w:val="Nivel01"/>
        <w:numPr>
          <w:ilvl w:val="0"/>
          <w:numId w:val="118"/>
        </w:numPr>
        <w:ind w:left="0" w:hanging="0"/>
        <w:rPr>
          <w:color w:val="FFFFFF" w:themeColor="background1"/>
        </w:rPr>
      </w:pPr>
      <w:commentRangeStart w:id="10"/>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0"/>
      <w:r>
        <w:commentReference w:id="10"/>
      </w:r>
      <w:r>
        <w:rPr>
          <w:rStyle w:val="LinkdaInternet"/>
        </w:rPr>
      </w:r>
    </w:p>
    <w:p>
      <w:pPr>
        <w:pStyle w:val="Nivel2"/>
        <w:numPr>
          <w:ilvl w:val="1"/>
          <w:numId w:val="119"/>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20"/>
        </w:numPr>
        <w:ind w:left="0" w:hanging="0"/>
        <w:rPr>
          <w:color w:val="000000" w:themeColor="text1"/>
        </w:rPr>
      </w:pPr>
      <w:r>
        <w:rPr/>
        <w:t>Responsabilizar-se pelos vícios e danos decorrentes do objeto, de acordo com o Código de Defesa do Consumidor (</w:t>
      </w:r>
      <w:hyperlink r:id="rId3">
        <w:r>
          <w:rPr>
            <w:rStyle w:val="LinkdaInternet"/>
          </w:rPr>
          <w:t>Lei nº 8.078, de 1990</w:t>
        </w:r>
      </w:hyperlink>
      <w:r>
        <w:rPr/>
        <w:t>);</w:t>
      </w:r>
    </w:p>
    <w:p>
      <w:pPr>
        <w:pStyle w:val="Nivel2"/>
        <w:numPr>
          <w:ilvl w:val="1"/>
          <w:numId w:val="121"/>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22"/>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23"/>
        </w:numPr>
        <w:ind w:left="0" w:hanging="0"/>
        <w:rPr/>
      </w:pPr>
      <w:commentRangeStart w:id="11"/>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1"/>
      <w:r>
        <w:commentReference w:id="11"/>
      </w:r>
      <w:r>
        <w:rPr/>
      </w:r>
    </w:p>
    <w:p>
      <w:pPr>
        <w:pStyle w:val="Nivel2"/>
        <w:numPr>
          <w:ilvl w:val="1"/>
          <w:numId w:val="124"/>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25"/>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26"/>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27"/>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28"/>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29"/>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30"/>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31"/>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32"/>
        </w:numPr>
        <w:ind w:left="0" w:hanging="0"/>
        <w:rPr/>
      </w:pPr>
      <w:r>
        <w:rPr/>
        <w:t xml:space="preserve">  </w:t>
      </w:r>
      <w:r>
        <w:rPr/>
        <w:t xml:space="preserve">Guardar sigilo sobre todas as informações obtidas em decorrência do cumprimento do contrato; </w:t>
      </w:r>
    </w:p>
    <w:p>
      <w:pPr>
        <w:pStyle w:val="Nivel2"/>
        <w:numPr>
          <w:ilvl w:val="1"/>
          <w:numId w:val="133"/>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34"/>
        </w:numPr>
        <w:ind w:left="0" w:hanging="0"/>
        <w:rPr/>
      </w:pPr>
      <w:commentRangeStart w:id="12"/>
      <w:r>
        <w:rPr/>
        <w:t>Cumprir, além dos postulados legais vigentes de âmbito federal, estadual ou municipal, as normas de segurança do contratante;</w:t>
      </w:r>
      <w:bookmarkStart w:id="0" w:name="_Ref118293001"/>
      <w:bookmarkEnd w:id="0"/>
    </w:p>
    <w:p>
      <w:pPr>
        <w:pStyle w:val="Nvel2Red"/>
        <w:numPr>
          <w:ilvl w:val="1"/>
          <w:numId w:val="135"/>
        </w:numPr>
        <w:ind w:left="0" w:hanging="0"/>
        <w:rPr>
          <w:color w:val="000000"/>
        </w:rPr>
      </w:pPr>
      <w:bookmarkStart w:id="1" w:name="_Ref118293030"/>
      <w:r>
        <w:rPr>
          <w:i w:val="false"/>
          <w:iCs w:val="false"/>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commentRangeEnd w:id="12"/>
      <w:r>
        <w:commentReference w:id="12"/>
      </w:r>
      <w:r>
        <w:rPr>
          <w:i w:val="false"/>
          <w:iCs w:val="false"/>
          <w:color w:val="000000"/>
        </w:rPr>
      </w:r>
    </w:p>
    <w:p>
      <w:pPr>
        <w:pStyle w:val="Nivel01"/>
        <w:numPr>
          <w:ilvl w:val="0"/>
          <w:numId w:val="136"/>
        </w:numPr>
        <w:ind w:left="0" w:hanging="0"/>
        <w:rPr>
          <w:color w:val="FFFFFF" w:themeColor="background1"/>
        </w:rPr>
      </w:pPr>
      <w:r>
        <w:rPr/>
        <w:t>CLÁUSULA DÉCIMA–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37"/>
        </w:numPr>
        <w:ind w:left="0" w:hanging="0"/>
        <w:rPr/>
      </w:pPr>
      <w:commentRangeStart w:id="13"/>
      <w:r>
        <w:rPr>
          <w:b w:val="false"/>
          <w:bCs w:val="false"/>
          <w:i w:val="false"/>
          <w:iCs w:val="false"/>
          <w:color w:val="000000"/>
        </w:rPr>
        <w:t>Não haverá exigência de garantia contratual da execução.</w:t>
      </w:r>
      <w:commentRangeEnd w:id="13"/>
      <w:r>
        <w:commentReference w:id="13"/>
      </w:r>
      <w:r>
        <w:rPr>
          <w:b w:val="false"/>
          <w:bCs w:val="false"/>
          <w:i w:val="false"/>
          <w:iCs w:val="false"/>
          <w:color w:val="000000"/>
        </w:rPr>
      </w:r>
    </w:p>
    <w:p>
      <w:pPr>
        <w:pStyle w:val="Nivel01"/>
        <w:numPr>
          <w:ilvl w:val="0"/>
          <w:numId w:val="138"/>
        </w:numPr>
        <w:ind w:left="0" w:hanging="0"/>
        <w:rPr>
          <w:color w:val="FFFFFF" w:themeColor="background1"/>
        </w:rPr>
      </w:pPr>
      <w:r>
        <w:rPr/>
        <w:t>CLÁUSULA DÉCIMA PRIMEIRA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39"/>
        </w:numPr>
        <w:ind w:left="0" w:hanging="0"/>
        <w:rPr/>
      </w:pPr>
      <w:r>
        <w:rPr/>
        <w:t xml:space="preserve">Conforme Edital e seus Anexos. </w:t>
      </w:r>
    </w:p>
    <w:p>
      <w:pPr>
        <w:pStyle w:val="Nivel01"/>
        <w:numPr>
          <w:ilvl w:val="0"/>
          <w:numId w:val="140"/>
        </w:numPr>
        <w:ind w:left="0" w:hanging="0"/>
        <w:rPr>
          <w:color w:val="FFFFFF" w:themeColor="background1"/>
        </w:rPr>
      </w:pPr>
      <w:r>
        <w:rPr/>
        <w:t>CLÁUSULA DÉCIMA SEGUNDA–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ivel2"/>
        <w:numPr>
          <w:ilvl w:val="1"/>
          <w:numId w:val="141"/>
        </w:numPr>
        <w:ind w:left="0" w:hanging="0"/>
        <w:rPr/>
      </w:pPr>
      <w:r>
        <w:rPr/>
        <w:t>O contra</w:t>
      </w:r>
      <w:r>
        <w:rPr>
          <w:shd w:fill="auto" w:val="clear"/>
        </w:rPr>
        <w:t xml:space="preserve">to poderá ser extinto antes de cumpridas as obrigações nele estipuladas, ou antes do prazo nele fixado, por algum dos motivos previstos no </w:t>
      </w:r>
      <w:r>
        <w:fldChar w:fldCharType="begin"/>
      </w:r>
      <w:r>
        <w:rPr>
          <w:rStyle w:val="LinkdaInternet"/>
          <w:shd w:fill="auto" w:val="clear"/>
        </w:rPr>
        <w:instrText xml:space="preserve"> HYPERLINK "http://www.planalto.gov.br/ccivil_03/_ato2019-2022/2021/lei/L14133.htm" \l "art137"</w:instrText>
      </w:r>
      <w:r>
        <w:rPr>
          <w:rStyle w:val="LinkdaInternet"/>
          <w:shd w:fill="auto" w:val="clear"/>
        </w:rPr>
        <w:fldChar w:fldCharType="separate"/>
      </w:r>
      <w:r>
        <w:rPr>
          <w:rStyle w:val="LinkdaInternet"/>
          <w:shd w:fill="auto" w:val="clear"/>
        </w:rPr>
        <w:t>artigo 137 da Lei nº 14.133/21</w:t>
      </w:r>
      <w:r>
        <w:rPr>
          <w:rStyle w:val="LinkdaInternet"/>
          <w:shd w:fill="auto" w:val="clear"/>
        </w:rPr>
        <w:fldChar w:fldCharType="end"/>
      </w:r>
      <w:r>
        <w:rPr>
          <w:shd w:fill="auto" w:val="clear"/>
        </w:rPr>
        <w:t xml:space="preserve">, bem como amigavelmente, </w:t>
      </w:r>
      <w:r>
        <w:rPr>
          <w:color w:val="000000" w:themeColor="text1"/>
          <w:shd w:fill="auto" w:val="clear"/>
        </w:rPr>
        <w:t>assegurados o contraditório e a ampla defesa</w:t>
      </w:r>
      <w:r>
        <w:rPr>
          <w:shd w:fill="auto" w:val="clear"/>
        </w:rPr>
        <w:t>.</w:t>
      </w:r>
    </w:p>
    <w:p>
      <w:pPr>
        <w:pStyle w:val="Nivel3"/>
        <w:numPr>
          <w:ilvl w:val="2"/>
          <w:numId w:val="142"/>
        </w:numPr>
        <w:ind w:left="284" w:hanging="0"/>
        <w:rPr/>
      </w:pPr>
      <w:r>
        <w:rPr>
          <w:shd w:fill="auto" w:val="clear"/>
        </w:rPr>
        <w:t xml:space="preserve">Nesta hipótese, aplicam-se também os </w:t>
      </w:r>
      <w:r>
        <w:fldChar w:fldCharType="begin"/>
      </w:r>
      <w:r>
        <w:rPr>
          <w:rStyle w:val="LinkdaInternet"/>
          <w:shd w:fill="auto" w:val="clear"/>
        </w:rPr>
        <w:instrText xml:space="preserve"> HYPERLINK "http://www.planalto.gov.br/ccivil_03/_ato2019-2022/2021/lei/L14133.htm" \l "art138"</w:instrText>
      </w:r>
      <w:r>
        <w:rPr>
          <w:rStyle w:val="LinkdaInternet"/>
          <w:shd w:fill="auto" w:val="clear"/>
        </w:rPr>
        <w:fldChar w:fldCharType="separate"/>
      </w:r>
      <w:r>
        <w:rPr>
          <w:rStyle w:val="LinkdaInternet"/>
          <w:shd w:fill="auto" w:val="clear"/>
        </w:rPr>
        <w:t>artigos 138 e 139 da mesma Lei</w:t>
      </w:r>
      <w:r>
        <w:rPr>
          <w:rStyle w:val="LinkdaInternet"/>
          <w:shd w:fill="auto" w:val="clear"/>
        </w:rPr>
        <w:fldChar w:fldCharType="end"/>
      </w:r>
      <w:r>
        <w:rPr>
          <w:shd w:fill="auto" w:val="clear"/>
        </w:rPr>
        <w:t>.</w:t>
      </w:r>
    </w:p>
    <w:p>
      <w:pPr>
        <w:pStyle w:val="Nivel3"/>
        <w:numPr>
          <w:ilvl w:val="2"/>
          <w:numId w:val="143"/>
        </w:numPr>
        <w:ind w:left="284" w:hanging="0"/>
        <w:rPr>
          <w:highlight w:val="none"/>
          <w:shd w:fill="auto" w:val="clear"/>
        </w:rPr>
      </w:pPr>
      <w:r>
        <w:rPr>
          <w:shd w:fill="auto" w:val="clear"/>
        </w:rPr>
        <w:t>A alteração social ou a modificação da finalidade ou da estrutura da empresa não ensejará a extinção se não restringir sua capacidade de concluir o contrato.</w:t>
      </w:r>
    </w:p>
    <w:p>
      <w:pPr>
        <w:pStyle w:val="Nivel4"/>
        <w:numPr>
          <w:ilvl w:val="3"/>
          <w:numId w:val="144"/>
        </w:numPr>
        <w:ind w:left="567" w:hanging="0"/>
        <w:rPr>
          <w:highlight w:val="none"/>
          <w:shd w:fill="auto" w:val="clear"/>
        </w:rPr>
      </w:pPr>
      <w:r>
        <w:rPr>
          <w:color w:val="000000" w:themeColor="text1"/>
          <w:shd w:fill="auto" w:val="clear"/>
        </w:rPr>
        <w:t xml:space="preserve">Se a </w:t>
      </w:r>
      <w:r>
        <w:rPr>
          <w:shd w:fill="auto" w:val="clear"/>
        </w:rPr>
        <w:t>operação</w:t>
      </w:r>
      <w:r>
        <w:rPr>
          <w:color w:val="000000" w:themeColor="text1"/>
          <w:shd w:fill="auto" w:val="clear"/>
        </w:rPr>
        <w:t xml:space="preserve"> </w:t>
      </w:r>
      <w:r>
        <w:rPr>
          <w:shd w:fill="auto" w:val="clear"/>
        </w:rPr>
        <w:t>implicar mudança da pessoa jurídica contratada, deverá ser formalizado termo aditivo para alteração subjetiva.</w:t>
      </w:r>
    </w:p>
    <w:p>
      <w:pPr>
        <w:pStyle w:val="Nivel2"/>
        <w:numPr>
          <w:ilvl w:val="1"/>
          <w:numId w:val="145"/>
        </w:numPr>
        <w:ind w:left="0" w:hanging="0"/>
        <w:rPr>
          <w:highlight w:val="none"/>
          <w:shd w:fill="auto" w:val="clear"/>
        </w:rPr>
      </w:pPr>
      <w:r>
        <w:rPr>
          <w:shd w:fill="auto" w:val="clear"/>
        </w:rPr>
        <w:t>O termo de extinção, sempre que possível, será precedido:</w:t>
      </w:r>
    </w:p>
    <w:p>
      <w:pPr>
        <w:pStyle w:val="Nivel3"/>
        <w:numPr>
          <w:ilvl w:val="2"/>
          <w:numId w:val="146"/>
        </w:numPr>
        <w:ind w:left="284" w:hanging="0"/>
        <w:rPr/>
      </w:pPr>
      <w:r>
        <w:rPr>
          <w:shd w:fill="auto" w:val="clear"/>
        </w:rPr>
        <w:t>Balanço dos ev</w:t>
      </w:r>
      <w:r>
        <w:rPr/>
        <w:t>entos contratuais já cumpridos ou parcialmente cumpridos;</w:t>
      </w:r>
    </w:p>
    <w:p>
      <w:pPr>
        <w:pStyle w:val="Nivel3"/>
        <w:numPr>
          <w:ilvl w:val="2"/>
          <w:numId w:val="147"/>
        </w:numPr>
        <w:ind w:left="284" w:hanging="0"/>
        <w:rPr/>
      </w:pPr>
      <w:r>
        <w:rPr/>
        <w:t>Relação dos pagamentos já efetuados e ainda devidos;</w:t>
      </w:r>
    </w:p>
    <w:p>
      <w:pPr>
        <w:pStyle w:val="Nivel3"/>
        <w:numPr>
          <w:ilvl w:val="2"/>
          <w:numId w:val="148"/>
        </w:numPr>
        <w:ind w:left="284" w:hanging="0"/>
        <w:rPr/>
      </w:pPr>
      <w:r>
        <w:rPr/>
        <w:t>Indenizações e multas.</w:t>
      </w:r>
    </w:p>
    <w:p>
      <w:pPr>
        <w:pStyle w:val="Nivel2"/>
        <w:numPr>
          <w:ilvl w:val="1"/>
          <w:numId w:val="149"/>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50"/>
        </w:numPr>
        <w:ind w:left="0" w:hanging="0"/>
        <w:rPr>
          <w:highlight w:val="none"/>
          <w:shd w:fill="FFFFFF" w:val="clear"/>
        </w:rPr>
      </w:pPr>
      <w:r>
        <w:rPr>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51"/>
        </w:numPr>
        <w:ind w:left="0" w:hanging="0"/>
        <w:rPr>
          <w:color w:val="FFFFFF" w:themeColor="background1"/>
        </w:rPr>
      </w:pPr>
      <w:r>
        <w:rPr/>
        <w:t>CLÁUSULA DÉCIMA TERCEIRA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52"/>
        </w:numPr>
        <w:ind w:left="0" w:hanging="0"/>
        <w:rPr/>
      </w:pPr>
      <w:r>
        <w:rPr/>
        <w:t>As despesas decorrentes da presente contratação correrão à conta:</w:t>
      </w:r>
      <w:r>
        <w:rPr>
          <w:rFonts w:eastAsia="ＭＳ 明朝" w:cs="Arial"/>
          <w:color w:val="000000"/>
          <w:kern w:val="0"/>
          <w:sz w:val="20"/>
          <w:szCs w:val="20"/>
          <w:lang w:val="pt-BR" w:eastAsia="pt-BR" w:bidi="ar-SA"/>
        </w:rPr>
        <w:t xml:space="preserve"> </w:t>
      </w:r>
      <w:r>
        <w:rPr>
          <w:rFonts w:eastAsia="ＭＳ 明朝" w:cs="Arial"/>
          <w:b/>
          <w:bCs/>
          <w:color w:val="000000"/>
          <w:spacing w:val="0"/>
          <w:kern w:val="0"/>
          <w:sz w:val="20"/>
          <w:szCs w:val="20"/>
          <w:shd w:fill="FFFFFF" w:val="clear"/>
          <w:lang w:val="pt-BR" w:eastAsia="pt-BR" w:bidi="ar-SA"/>
        </w:rPr>
        <w:t>6.3.2.1.01.001 – Aparelhos e Equipamentos de Comunicação em Geral.</w:t>
      </w:r>
    </w:p>
    <w:p>
      <w:pPr>
        <w:pStyle w:val="Nivel01"/>
        <w:numPr>
          <w:ilvl w:val="0"/>
          <w:numId w:val="153"/>
        </w:numPr>
        <w:ind w:left="0" w:hanging="0"/>
        <w:rPr>
          <w:color w:val="FFFFFF" w:themeColor="background1"/>
        </w:rPr>
      </w:pPr>
      <w:r>
        <w:rPr/>
        <w:t>CLÁUSULA DÉCIMA QUARTA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54"/>
        </w:numPr>
        <w:ind w:left="0" w:hanging="0"/>
        <w:rPr/>
      </w:pPr>
      <w:commentRangeStart w:id="14"/>
      <w:r>
        <w:rPr/>
        <w:t xml:space="preserve">Os casos omissos serão decididos pelo contratante, segundo as disposições contidas na Lei </w:t>
      </w:r>
      <w:hyperlink r:id="rId4">
        <w:r>
          <w:rPr>
            <w:rStyle w:val="LinkdaInternet"/>
          </w:rPr>
          <w:t>nº 14.133, de 2021</w:t>
        </w:r>
      </w:hyperlink>
      <w:r>
        <w:rPr/>
        <w:t xml:space="preserve">, e demais normas federais aplicáveis e, subsidiariamente, segundo as disposições contidas na </w:t>
      </w:r>
      <w:hyperlink r:id="rId5">
        <w:r>
          <w:rPr>
            <w:rStyle w:val="LinkdaInternet"/>
          </w:rPr>
          <w:t>Lei nº 8.078, de 1990 – Código de Defesa do Consumidor</w:t>
        </w:r>
      </w:hyperlink>
      <w:r>
        <w:rPr/>
        <w:t xml:space="preserve"> – e normas e princípios gerais dos contratos.</w:t>
      </w:r>
      <w:commentRangeEnd w:id="14"/>
      <w:r>
        <w:commentReference w:id="14"/>
      </w:r>
      <w:r>
        <w:rPr/>
      </w:r>
    </w:p>
    <w:p>
      <w:pPr>
        <w:pStyle w:val="Nivel01"/>
        <w:numPr>
          <w:ilvl w:val="0"/>
          <w:numId w:val="155"/>
        </w:numPr>
        <w:ind w:left="0" w:hanging="0"/>
        <w:rPr>
          <w:color w:val="FFFFFF" w:themeColor="background1"/>
        </w:rPr>
      </w:pPr>
      <w:r>
        <w:rPr/>
        <w:t>CLÁUSULA DÉCIMA QUINTA – ALTERAÇÕES</w:t>
      </w:r>
    </w:p>
    <w:p>
      <w:pPr>
        <w:pStyle w:val="Nivel2"/>
        <w:numPr>
          <w:ilvl w:val="1"/>
          <w:numId w:val="156"/>
        </w:numPr>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57"/>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58"/>
        </w:numPr>
        <w:ind w:left="0" w:hanging="0"/>
        <w:rPr>
          <w:highlight w:val="none"/>
          <w:shd w:fill="FFFFFF" w:val="clear"/>
        </w:rPr>
      </w:pPr>
      <w:r>
        <w:rPr>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59"/>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60"/>
        </w:numPr>
        <w:ind w:left="0" w:hanging="0"/>
        <w:rPr>
          <w:color w:val="FFFFFF" w:themeColor="background1"/>
        </w:rPr>
      </w:pPr>
      <w:r>
        <w:rPr/>
        <w:t>CLÁUSULA DÉCIMA SEXTA – PUBLICAÇÃO</w:t>
      </w:r>
    </w:p>
    <w:p>
      <w:pPr>
        <w:pStyle w:val="Nivel2"/>
        <w:numPr>
          <w:ilvl w:val="1"/>
          <w:numId w:val="161"/>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shd w:fill="FFFFFF" w:val="clear"/>
        </w:rPr>
        <w:t xml:space="preserve">ao art. 91, </w:t>
      </w:r>
      <w:r>
        <w:rPr>
          <w:i/>
          <w:shd w:fill="FFFFFF" w:val="clear"/>
        </w:rPr>
        <w:t>caput,</w:t>
      </w:r>
      <w:r>
        <w:rPr>
          <w:shd w:fill="FFFFFF" w:val="clear"/>
        </w:rPr>
        <w:t xml:space="preserve"> da Lei n.º 14.133, de 2021, e </w:t>
      </w:r>
      <w:r>
        <w:rPr/>
        <w:t xml:space="preserve">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162"/>
        </w:numPr>
        <w:ind w:left="0" w:hanging="0"/>
        <w:rPr>
          <w:color w:val="FFFFFF" w:themeColor="background1"/>
        </w:rPr>
      </w:pPr>
      <w:r>
        <w:rPr/>
        <w:t>CLÁUSULA DÉCIMA SÉTIMA–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63"/>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15"/>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15"/>
      <w:r>
        <w:commentReference w:id="15"/>
      </w:r>
      <w:r>
        <w:rPr>
          <w:rFonts w:cs="Arial" w:ascii="Arial" w:hAnsi="Arial"/>
          <w:i/>
          <w:iCs/>
          <w:color w:val="FF0000"/>
          <w:sz w:val="20"/>
          <w:szCs w:val="20"/>
        </w:rPr>
      </w:r>
    </w:p>
    <w:sectPr>
      <w:headerReference w:type="default" r:id="rId6"/>
      <w:footerReference w:type="default" r:id="rId7"/>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9" w:author="Autor" w:date="0-00-00T00:00:00Z" w:initials="A">
    <w:p>
      <w:r>
        <w:rPr>
          <w:rFonts w:ascii="Liberation Serif" w:hAnsi="Liberation Serif" w:eastAsia="Segoe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98139928"/>
    </w:sdtPr>
    <w:sdtContent>
      <w:p>
        <w:pPr>
          <w:pStyle w:val="Rodap"/>
          <w:rPr>
            <w:color w:val="548DD4" w:themeColor="text2" w:themeTint="99"/>
            <w:spacing w:val="60"/>
            <w:sz w:val="16"/>
            <w:szCs w:val="16"/>
          </w:rPr>
        </w:pPr>
        <w:r>
          <w:rPr>
            <w:color w:val="548DD4" w:themeColor="text2" w:themeTint="99"/>
            <w:spacing w:val="60"/>
            <w:sz w:val="22"/>
            <w:szCs w:val="22"/>
          </w:rPr>
          <w:tab/>
          <w:tab/>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3"/>
    <w:lvlOverride w:ilvl="0">
      <w:startOverride w:val="1"/>
    </w:lvlOverride>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qFormat/>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Ncoradanotaderodap">
    <w:name w:val="Footnote Reference"/>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numPr>
        <w:ilvl w:val="0"/>
        <w:numId w:val="0"/>
      </w:numPr>
      <w:ind w:left="0"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comments" Target="comment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127</TotalTime>
  <Application>LibreOffice/7.4.3.2$Windows_X86_64 LibreOffice_project/1048a8393ae2eeec98dff31b5c133c5f1d08b890</Application>
  <AppVersion>15.0000</AppVersion>
  <Pages>6</Pages>
  <Words>2255</Words>
  <Characters>12559</Characters>
  <CharactersWithSpaces>14596</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2025-02-10T12:52:22Z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